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E1F1" w14:textId="4AE78515" w:rsidR="00013581" w:rsidRDefault="00013581" w:rsidP="00013581">
      <w:pPr>
        <w:jc w:val="center"/>
        <w:rPr>
          <w:b/>
          <w:bCs/>
        </w:rPr>
      </w:pPr>
      <w:r>
        <w:rPr>
          <w:b/>
          <w:bCs/>
        </w:rPr>
        <w:t>Arts and Humanities 1 Subcommittee</w:t>
      </w:r>
    </w:p>
    <w:p w14:paraId="4A9AFC6B" w14:textId="12F2CBEA" w:rsidR="00013581" w:rsidRDefault="0017485A" w:rsidP="00013581">
      <w:pPr>
        <w:jc w:val="center"/>
      </w:pPr>
      <w:r>
        <w:t>A</w:t>
      </w:r>
      <w:r w:rsidR="00745DDF">
        <w:t xml:space="preserve">pproved </w:t>
      </w:r>
      <w:r w:rsidR="00013581">
        <w:t>Minutes</w:t>
      </w:r>
    </w:p>
    <w:p w14:paraId="0A21A027" w14:textId="3FECF95E" w:rsidR="00013581" w:rsidRDefault="00013581" w:rsidP="00013581">
      <w:r>
        <w:t>Monday, October 23</w:t>
      </w:r>
      <w:r w:rsidRPr="00013581">
        <w:rPr>
          <w:vertAlign w:val="superscript"/>
        </w:rPr>
        <w:t>rd</w:t>
      </w:r>
      <w:r>
        <w:t xml:space="preserve">, </w:t>
      </w:r>
      <w:proofErr w:type="gramStart"/>
      <w:r>
        <w:t>2023</w:t>
      </w:r>
      <w:proofErr w:type="gramEnd"/>
      <w:r>
        <w:tab/>
      </w:r>
      <w:r>
        <w:tab/>
      </w:r>
      <w:r>
        <w:tab/>
      </w:r>
      <w:r>
        <w:tab/>
      </w:r>
      <w:r>
        <w:tab/>
      </w:r>
      <w:r>
        <w:tab/>
        <w:t xml:space="preserve">                      9:30AM – 11:00AM</w:t>
      </w:r>
    </w:p>
    <w:p w14:paraId="5EA4F7BA" w14:textId="6C7AF0DE" w:rsidR="00013581" w:rsidRDefault="00013581" w:rsidP="00013581">
      <w:proofErr w:type="spellStart"/>
      <w:r>
        <w:t>CarmenZoom</w:t>
      </w:r>
      <w:proofErr w:type="spellEnd"/>
    </w:p>
    <w:p w14:paraId="54AE9BD0" w14:textId="77777777" w:rsidR="00013581" w:rsidRDefault="00013581" w:rsidP="00013581"/>
    <w:p w14:paraId="100246B4" w14:textId="19B0C390" w:rsidR="00013581" w:rsidRDefault="00013581" w:rsidP="00013581">
      <w:r>
        <w:rPr>
          <w:b/>
          <w:bCs/>
        </w:rPr>
        <w:t xml:space="preserve">Attendees: </w:t>
      </w:r>
      <w:r>
        <w:t>Bitters, Hilty, Koehnlein, Neff, Smith, Staley, Troyan</w:t>
      </w:r>
    </w:p>
    <w:p w14:paraId="37059041" w14:textId="77777777" w:rsidR="00013581" w:rsidRDefault="00013581" w:rsidP="00013581"/>
    <w:p w14:paraId="07B3A9A0" w14:textId="0B656D41" w:rsidR="00013581" w:rsidRDefault="00013581" w:rsidP="00013581">
      <w:pPr>
        <w:pStyle w:val="ListParagraph"/>
        <w:numPr>
          <w:ilvl w:val="0"/>
          <w:numId w:val="1"/>
        </w:numPr>
      </w:pPr>
      <w:r>
        <w:t>Approval of 10/09/2023 Minutes</w:t>
      </w:r>
    </w:p>
    <w:p w14:paraId="6FB113A9" w14:textId="24173A8B" w:rsidR="00013581" w:rsidRDefault="00013581" w:rsidP="00013581">
      <w:pPr>
        <w:pStyle w:val="ListParagraph"/>
        <w:numPr>
          <w:ilvl w:val="1"/>
          <w:numId w:val="1"/>
        </w:numPr>
      </w:pPr>
      <w:r>
        <w:rPr>
          <w:b/>
          <w:bCs/>
        </w:rPr>
        <w:t xml:space="preserve">Tabled </w:t>
      </w:r>
    </w:p>
    <w:p w14:paraId="3777DD94" w14:textId="59ECCD7C" w:rsidR="00013581" w:rsidRDefault="00013581" w:rsidP="00013581">
      <w:pPr>
        <w:pStyle w:val="ListParagraph"/>
        <w:numPr>
          <w:ilvl w:val="0"/>
          <w:numId w:val="1"/>
        </w:numPr>
      </w:pPr>
      <w:r>
        <w:t xml:space="preserve">Art 3335 (existing course requesting to change level/number from 5335) (Tabled) </w:t>
      </w:r>
    </w:p>
    <w:p w14:paraId="5059A652" w14:textId="77777777" w:rsidR="00013581" w:rsidRPr="009B5D3A" w:rsidRDefault="00013581" w:rsidP="00013581">
      <w:pPr>
        <w:pStyle w:val="ListParagraph"/>
        <w:numPr>
          <w:ilvl w:val="1"/>
          <w:numId w:val="1"/>
        </w:numPr>
        <w:spacing w:line="256" w:lineRule="auto"/>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5"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1A4E8975" w14:textId="485B81B7" w:rsidR="00013581" w:rsidRDefault="00013581" w:rsidP="00013581">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it was recently updated for the 2023-24 academic year, as well as the Mental Health and Title IX statements. The most up-to-date </w:t>
      </w:r>
      <w:hyperlink r:id="rId6" w:history="1">
        <w:r>
          <w:rPr>
            <w:rStyle w:val="Hyperlink"/>
            <w:i/>
            <w:iCs/>
          </w:rPr>
          <w:t>statements can be found here</w:t>
        </w:r>
      </w:hyperlink>
      <w:r>
        <w:rPr>
          <w:i/>
          <w:iCs/>
        </w:rPr>
        <w:t xml:space="preserve"> on the ASC Curriculum and Assessment website.  </w:t>
      </w:r>
    </w:p>
    <w:p w14:paraId="03D18302" w14:textId="5436BCD7" w:rsidR="00013581" w:rsidRDefault="00013581" w:rsidP="00013581">
      <w:pPr>
        <w:pStyle w:val="ListParagraph"/>
        <w:numPr>
          <w:ilvl w:val="1"/>
          <w:numId w:val="1"/>
        </w:numPr>
      </w:pPr>
      <w:r>
        <w:t xml:space="preserve">Koehnlein, Troyan,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7AEC6FC4" w14:textId="6C3DED68" w:rsidR="00013581" w:rsidRDefault="00013581" w:rsidP="00013581">
      <w:pPr>
        <w:pStyle w:val="ListParagraph"/>
        <w:numPr>
          <w:ilvl w:val="0"/>
          <w:numId w:val="1"/>
        </w:numPr>
      </w:pPr>
      <w:r>
        <w:t xml:space="preserve">Religious Studies 2102.02 (existing course with GEL Literature, GEL Diversity – Global Studies, and GEN Foundation: Literary, Visual, and Performing Arts; requesting 100% DL) </w:t>
      </w:r>
    </w:p>
    <w:p w14:paraId="03B5878C" w14:textId="738F4E3A" w:rsidR="00013581" w:rsidRPr="006420AF" w:rsidRDefault="00013581" w:rsidP="00013581">
      <w:pPr>
        <w:pStyle w:val="ListParagraph"/>
        <w:numPr>
          <w:ilvl w:val="1"/>
          <w:numId w:val="1"/>
        </w:numPr>
      </w:pPr>
      <w:r>
        <w:rPr>
          <w:b/>
          <w:bCs/>
        </w:rPr>
        <w:t xml:space="preserve">The Subcommittee asks that the legacy General Education (GEL) Goals, ELOs and brief explanatory rationale be added to the course syllabus, as this is a requirement of all General Education courses. As a reminder, Religious Studies 2102.02 is approved for GEL categories Literature and Diversity – Global Studies. The GEL Goals and ELOs can be found on the </w:t>
      </w:r>
      <w:hyperlink r:id="rId7" w:history="1">
        <w:r w:rsidRPr="00013581">
          <w:rPr>
            <w:rStyle w:val="Hyperlink"/>
            <w:b/>
            <w:bCs/>
          </w:rPr>
          <w:t>ASC Curriculum and Assessment Services website</w:t>
        </w:r>
      </w:hyperlink>
      <w:r>
        <w:rPr>
          <w:b/>
          <w:bCs/>
        </w:rPr>
        <w:t xml:space="preserve">. </w:t>
      </w:r>
    </w:p>
    <w:p w14:paraId="2F9029D5" w14:textId="318CA7FB" w:rsidR="006420AF" w:rsidRPr="006420AF" w:rsidRDefault="006420AF" w:rsidP="00013581">
      <w:pPr>
        <w:pStyle w:val="ListParagraph"/>
        <w:numPr>
          <w:ilvl w:val="1"/>
          <w:numId w:val="1"/>
        </w:numPr>
      </w:pPr>
      <w:r>
        <w:rPr>
          <w:i/>
          <w:iCs/>
        </w:rPr>
        <w:t xml:space="preserve">The Subcommittee recommends reviewing the course syllabus and removing or updating the language surrounding COVID-19 to ensure that it is </w:t>
      </w:r>
      <w:r w:rsidR="006A6EC9">
        <w:rPr>
          <w:i/>
          <w:iCs/>
        </w:rPr>
        <w:t xml:space="preserve">compliant </w:t>
      </w:r>
      <w:r>
        <w:rPr>
          <w:i/>
          <w:iCs/>
        </w:rPr>
        <w:t xml:space="preserve">with current guidelines and procedures. </w:t>
      </w:r>
    </w:p>
    <w:p w14:paraId="46301BA4" w14:textId="5752323C" w:rsidR="006420AF" w:rsidRDefault="006420AF" w:rsidP="00013581">
      <w:pPr>
        <w:pStyle w:val="ListParagraph"/>
        <w:numPr>
          <w:ilvl w:val="1"/>
          <w:numId w:val="1"/>
        </w:numPr>
      </w:pPr>
      <w:r>
        <w:t xml:space="preserve">Troyan, Koehnlein,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3FEF93AB" w14:textId="19F8C6A2" w:rsidR="006420AF" w:rsidRDefault="006420AF" w:rsidP="006420AF">
      <w:pPr>
        <w:pStyle w:val="ListParagraph"/>
        <w:numPr>
          <w:ilvl w:val="0"/>
          <w:numId w:val="1"/>
        </w:numPr>
      </w:pPr>
      <w:r>
        <w:t xml:space="preserve">History 2105 (existing course with GEL Historical Studies; GEL Diversity – Global Studies; and GEN Foundation: Historical and Cultural Studies; requesting 100% DL) </w:t>
      </w:r>
    </w:p>
    <w:p w14:paraId="3EE8FBE2" w14:textId="59271383" w:rsidR="006420AF" w:rsidRPr="006420AF" w:rsidRDefault="006420AF" w:rsidP="006420AF">
      <w:pPr>
        <w:pStyle w:val="ListParagraph"/>
        <w:numPr>
          <w:ilvl w:val="1"/>
          <w:numId w:val="1"/>
        </w:numPr>
      </w:pPr>
      <w:r>
        <w:rPr>
          <w:i/>
          <w:iCs/>
        </w:rPr>
        <w:t xml:space="preserve">The Subcommittee recommends, on page 1 of the syllabus, correcting where it says this course is synchronous as it appears to be an asynchronous course offering. </w:t>
      </w:r>
    </w:p>
    <w:p w14:paraId="5AC8E82A" w14:textId="77777777" w:rsidR="009624DE" w:rsidRPr="009624DE" w:rsidRDefault="006420AF" w:rsidP="006420AF">
      <w:pPr>
        <w:pStyle w:val="ListParagraph"/>
        <w:numPr>
          <w:ilvl w:val="1"/>
          <w:numId w:val="1"/>
        </w:numPr>
      </w:pPr>
      <w:r>
        <w:rPr>
          <w:i/>
          <w:iCs/>
        </w:rPr>
        <w:lastRenderedPageBreak/>
        <w:t xml:space="preserve">The Subcommittee recommends that the course instructor direct students to the Writing Center </w:t>
      </w:r>
      <w:r w:rsidR="009624DE">
        <w:rPr>
          <w:i/>
          <w:iCs/>
        </w:rPr>
        <w:t xml:space="preserve">if they need support when writing their long-form assignments. </w:t>
      </w:r>
    </w:p>
    <w:p w14:paraId="30082C55" w14:textId="77777777" w:rsidR="009624DE" w:rsidRDefault="009624DE" w:rsidP="006420AF">
      <w:pPr>
        <w:pStyle w:val="ListParagraph"/>
        <w:numPr>
          <w:ilvl w:val="1"/>
          <w:numId w:val="1"/>
        </w:numPr>
      </w:pPr>
      <w:r>
        <w:t xml:space="preserve">Koehnlein, Troyan, </w:t>
      </w:r>
      <w:r>
        <w:rPr>
          <w:b/>
          <w:bCs/>
        </w:rPr>
        <w:t xml:space="preserve">unanimously approved </w:t>
      </w:r>
      <w:r>
        <w:t xml:space="preserve">with </w:t>
      </w:r>
      <w:r>
        <w:rPr>
          <w:i/>
          <w:iCs/>
        </w:rPr>
        <w:t xml:space="preserve">two recommendations </w:t>
      </w:r>
      <w:r>
        <w:t xml:space="preserve">(in italics above) </w:t>
      </w:r>
    </w:p>
    <w:p w14:paraId="0F49DD7B" w14:textId="77777777" w:rsidR="009624DE" w:rsidRDefault="009624DE" w:rsidP="009624DE">
      <w:pPr>
        <w:pStyle w:val="ListParagraph"/>
        <w:numPr>
          <w:ilvl w:val="0"/>
          <w:numId w:val="1"/>
        </w:numPr>
      </w:pPr>
      <w:r>
        <w:t xml:space="preserve">History 3245 (existing course with GEL Historical Studies; GEN Theme: Citizenship for a Diverse and Just World; GEN Theme: Traditions, Cultures, and Transformations; requesting 100% DL) </w:t>
      </w:r>
    </w:p>
    <w:p w14:paraId="05B7D0C2" w14:textId="77777777" w:rsidR="009624DE" w:rsidRDefault="009624DE" w:rsidP="009624DE">
      <w:pPr>
        <w:pStyle w:val="ListParagraph"/>
        <w:numPr>
          <w:ilvl w:val="1"/>
          <w:numId w:val="1"/>
        </w:numPr>
      </w:pPr>
      <w:r>
        <w:t xml:space="preserve">Troyan, Koehnlein, </w:t>
      </w:r>
      <w:r>
        <w:rPr>
          <w:b/>
          <w:bCs/>
        </w:rPr>
        <w:t xml:space="preserve">unanimously </w:t>
      </w:r>
      <w:proofErr w:type="gramStart"/>
      <w:r>
        <w:rPr>
          <w:b/>
          <w:bCs/>
        </w:rPr>
        <w:t>approved</w:t>
      </w:r>
      <w:proofErr w:type="gramEnd"/>
      <w:r>
        <w:rPr>
          <w:b/>
          <w:bCs/>
        </w:rPr>
        <w:t xml:space="preserve"> </w:t>
      </w:r>
    </w:p>
    <w:p w14:paraId="20347BD6" w14:textId="77777777" w:rsidR="00F63098" w:rsidRDefault="009624DE" w:rsidP="009624DE">
      <w:pPr>
        <w:pStyle w:val="ListParagraph"/>
        <w:numPr>
          <w:ilvl w:val="0"/>
          <w:numId w:val="1"/>
        </w:numPr>
      </w:pPr>
      <w:r>
        <w:t>History 3231 (</w:t>
      </w:r>
      <w:r w:rsidR="00F63098">
        <w:t xml:space="preserve">existing course with GEL Historical Studies; GEL Diversity – Global Studies; GEN Foundation: Historical and Cultural Studies; and GEN Foundation: Race, Ethnicity and Gender Diversity; requesting 100% DL) </w:t>
      </w:r>
    </w:p>
    <w:p w14:paraId="1F83DD0C" w14:textId="4E667A1F" w:rsidR="006420AF" w:rsidRPr="00F63098" w:rsidRDefault="00F63098" w:rsidP="00F63098">
      <w:pPr>
        <w:pStyle w:val="ListParagraph"/>
        <w:numPr>
          <w:ilvl w:val="1"/>
          <w:numId w:val="1"/>
        </w:numPr>
      </w:pPr>
      <w:r>
        <w:rPr>
          <w:b/>
          <w:bCs/>
        </w:rPr>
        <w:t xml:space="preserve">The Subcommittee asks that the General Education Goals, ELOs, and explanatory paragraph be added for all General Education categories. Currently, the information for GEL Diversity – Global Studies and GEN Foundation: Historical and Cultural Studies is missing from the provided course syllabus. As a reminder, the </w:t>
      </w:r>
      <w:hyperlink r:id="rId8" w:history="1">
        <w:r w:rsidRPr="00F63098">
          <w:rPr>
            <w:rStyle w:val="Hyperlink"/>
            <w:b/>
            <w:bCs/>
          </w:rPr>
          <w:t>GEL information can be found here</w:t>
        </w:r>
      </w:hyperlink>
      <w:r>
        <w:rPr>
          <w:b/>
          <w:bCs/>
        </w:rPr>
        <w:t xml:space="preserve"> while the </w:t>
      </w:r>
      <w:hyperlink r:id="rId9" w:history="1">
        <w:r w:rsidRPr="00F63098">
          <w:rPr>
            <w:rStyle w:val="Hyperlink"/>
            <w:b/>
            <w:bCs/>
          </w:rPr>
          <w:t>GEN information can be found here</w:t>
        </w:r>
      </w:hyperlink>
      <w:r>
        <w:rPr>
          <w:b/>
          <w:bCs/>
        </w:rPr>
        <w:t xml:space="preserve"> on the ASC Curriculum and Assessment Services website. </w:t>
      </w:r>
      <w:r w:rsidR="009624DE">
        <w:rPr>
          <w:i/>
          <w:iCs/>
        </w:rPr>
        <w:t xml:space="preserve"> </w:t>
      </w:r>
    </w:p>
    <w:p w14:paraId="46C4D8FF" w14:textId="17120D39" w:rsidR="00F63098" w:rsidRDefault="00F63098" w:rsidP="00F63098">
      <w:pPr>
        <w:pStyle w:val="ListParagraph"/>
        <w:numPr>
          <w:ilvl w:val="1"/>
          <w:numId w:val="1"/>
        </w:numPr>
      </w:pPr>
      <w:r>
        <w:t xml:space="preserve">Koehnlein, Troyan, </w:t>
      </w:r>
      <w:r>
        <w:rPr>
          <w:b/>
          <w:bCs/>
        </w:rPr>
        <w:t xml:space="preserve">unanimously approved </w:t>
      </w:r>
      <w:r>
        <w:t xml:space="preserve">with </w:t>
      </w:r>
      <w:r>
        <w:rPr>
          <w:b/>
          <w:bCs/>
        </w:rPr>
        <w:t xml:space="preserve">one contingency </w:t>
      </w:r>
      <w:r>
        <w:t xml:space="preserve">(in bold above) </w:t>
      </w:r>
    </w:p>
    <w:p w14:paraId="405C6E5D" w14:textId="5614F04C" w:rsidR="00F63098" w:rsidRDefault="00F63098" w:rsidP="00F63098">
      <w:pPr>
        <w:pStyle w:val="ListParagraph"/>
        <w:numPr>
          <w:ilvl w:val="0"/>
          <w:numId w:val="1"/>
        </w:numPr>
      </w:pPr>
      <w:r>
        <w:t>Slavic and German 3797.02 (new cross-listed courses requesting GEN Theme: Citizenship for a Diverse and Just World with High-Impact Practice: Global and Intercultural Learning: Abroad, Away, or Virtual)</w:t>
      </w:r>
    </w:p>
    <w:p w14:paraId="4007339D" w14:textId="77777777" w:rsidR="00F63098" w:rsidRDefault="00F63098" w:rsidP="00F63098">
      <w:pPr>
        <w:pStyle w:val="ListParagraph"/>
        <w:numPr>
          <w:ilvl w:val="1"/>
          <w:numId w:val="1"/>
        </w:numPr>
      </w:pPr>
      <w:r>
        <w:t xml:space="preserve">The Subcommittee held a discussion surrounding these courses but held concerns after it being revealed that the departments were already holding informational sessions and accepting applications for this study abroad experience. They asked Michael Hilty, ASC Curriculum and Assessment Coordinator, to have a conversation with Bernadette Vankeerbergen, Assistant Dean for Curriculum. After this conversation, the Subcommittee conducted an e-vote on the following feedback items: </w:t>
      </w:r>
    </w:p>
    <w:p w14:paraId="3FBE81D6" w14:textId="77777777" w:rsidR="00F63098" w:rsidRPr="00F63098" w:rsidRDefault="00F63098" w:rsidP="00F63098">
      <w:pPr>
        <w:pStyle w:val="ListParagraph"/>
        <w:numPr>
          <w:ilvl w:val="2"/>
          <w:numId w:val="1"/>
        </w:numPr>
      </w:pPr>
      <w:r w:rsidRPr="00F63098">
        <w:rPr>
          <w:rFonts w:ascii="Calibri" w:hAnsi="Calibri" w:cs="Calibri"/>
          <w:color w:val="000000"/>
          <w:bdr w:val="none" w:sz="0" w:space="0" w:color="auto" w:frame="1"/>
        </w:rPr>
        <w:t>Comment: The Subcommittee noticed that the departments are already </w:t>
      </w:r>
      <w:hyperlink r:id="rId10" w:tgtFrame="_blank" w:tooltip="https://globaleducation.osu.edu/index.cfm?FuseAction=Programs.ViewProgramAngular&amp;id=10854" w:history="1">
        <w:r w:rsidRPr="00F63098">
          <w:rPr>
            <w:rStyle w:val="Hyperlink"/>
            <w:rFonts w:ascii="Calibri" w:hAnsi="Calibri" w:cs="Calibri"/>
            <w:color w:val="000000"/>
            <w:bdr w:val="none" w:sz="0" w:space="0" w:color="auto" w:frame="1"/>
          </w:rPr>
          <w:t>soliciting applications and holding informational sessions for this study abroad experience</w:t>
        </w:r>
      </w:hyperlink>
      <w:r w:rsidRPr="00F63098">
        <w:rPr>
          <w:rFonts w:ascii="Calibri" w:hAnsi="Calibri" w:cs="Calibri"/>
          <w:color w:val="000000"/>
          <w:bdr w:val="none" w:sz="0" w:space="0" w:color="auto" w:frame="1"/>
        </w:rPr>
        <w:t xml:space="preserve">. They would like to remind the departments that they should not be advertising or collecting applications for this experience until the course has been approved by the Office of the University Registrar, as there are </w:t>
      </w:r>
      <w:proofErr w:type="gramStart"/>
      <w:r w:rsidRPr="00F63098">
        <w:rPr>
          <w:rFonts w:ascii="Calibri" w:hAnsi="Calibri" w:cs="Calibri"/>
          <w:color w:val="000000"/>
          <w:bdr w:val="none" w:sz="0" w:space="0" w:color="auto" w:frame="1"/>
        </w:rPr>
        <w:t>a number of</w:t>
      </w:r>
      <w:proofErr w:type="gramEnd"/>
      <w:r w:rsidRPr="00F63098">
        <w:rPr>
          <w:rFonts w:ascii="Calibri" w:hAnsi="Calibri" w:cs="Calibri"/>
          <w:color w:val="000000"/>
          <w:bdr w:val="none" w:sz="0" w:space="0" w:color="auto" w:frame="1"/>
        </w:rPr>
        <w:t xml:space="preserve"> reasons that this experience could be delayed within the approval process and not ready in time for a Summer 2024 launch. Additionally, the departments should not be mentioning to students that this experience is applying for and/or will be approved for the General Education, as, again, there are no guarantees that this request will be ready in time for this intended offering. </w:t>
      </w:r>
    </w:p>
    <w:p w14:paraId="5D262417" w14:textId="4F760C02" w:rsidR="00F63098" w:rsidRPr="00F63098" w:rsidRDefault="00F63098" w:rsidP="00F63098">
      <w:pPr>
        <w:pStyle w:val="ListParagraph"/>
        <w:numPr>
          <w:ilvl w:val="2"/>
          <w:numId w:val="1"/>
        </w:numPr>
      </w:pPr>
      <w:r w:rsidRPr="00F63098">
        <w:rPr>
          <w:rFonts w:ascii="Calibri" w:hAnsi="Calibri" w:cs="Calibri"/>
          <w:b/>
          <w:bCs/>
          <w:color w:val="000000"/>
          <w:bdr w:val="none" w:sz="0" w:space="0" w:color="auto" w:frame="1"/>
        </w:rPr>
        <w:t xml:space="preserve">The Subcommittee was unclear in understanding the connection to German language, culture, and influence based on the materials provided within the course syllabus. They ask that this be strengthened within the course syllabus. Alternatively, they recognize that the Department of Germanic Languages and Literatures is also home to the Scandinavian and Swedish programs, and this may be where the central focus of resources/content may be intended to be located. If this is the case, they ask that this be </w:t>
      </w:r>
      <w:r w:rsidRPr="00F63098">
        <w:rPr>
          <w:rFonts w:ascii="Calibri" w:hAnsi="Calibri" w:cs="Calibri"/>
          <w:b/>
          <w:bCs/>
          <w:color w:val="000000"/>
          <w:bdr w:val="none" w:sz="0" w:space="0" w:color="auto" w:frame="1"/>
        </w:rPr>
        <w:lastRenderedPageBreak/>
        <w:t xml:space="preserve">strengthened within the course syllabus and recommend </w:t>
      </w:r>
      <w:proofErr w:type="gramStart"/>
      <w:r w:rsidRPr="00F63098">
        <w:rPr>
          <w:rFonts w:ascii="Calibri" w:hAnsi="Calibri" w:cs="Calibri"/>
          <w:b/>
          <w:bCs/>
          <w:color w:val="000000"/>
          <w:bdr w:val="none" w:sz="0" w:space="0" w:color="auto" w:frame="1"/>
        </w:rPr>
        <w:t>cross-listing</w:t>
      </w:r>
      <w:proofErr w:type="gramEnd"/>
      <w:r w:rsidRPr="00F63098">
        <w:rPr>
          <w:rFonts w:ascii="Calibri" w:hAnsi="Calibri" w:cs="Calibri"/>
          <w:b/>
          <w:bCs/>
          <w:color w:val="000000"/>
          <w:bdr w:val="none" w:sz="0" w:space="0" w:color="auto" w:frame="1"/>
        </w:rPr>
        <w:t xml:space="preserve"> this experience with Scandinavian or Swedish rather than German.</w:t>
      </w:r>
    </w:p>
    <w:p w14:paraId="59CA7CE1" w14:textId="588DB56D" w:rsidR="00F63098" w:rsidRPr="00F63098" w:rsidRDefault="00F63098" w:rsidP="00F63098">
      <w:pPr>
        <w:pStyle w:val="ListParagraph"/>
        <w:numPr>
          <w:ilvl w:val="2"/>
          <w:numId w:val="1"/>
        </w:numPr>
        <w:rPr>
          <w:b/>
          <w:bCs/>
        </w:rPr>
      </w:pPr>
      <w:r w:rsidRPr="00F63098">
        <w:rPr>
          <w:rFonts w:ascii="Calibri" w:hAnsi="Calibri" w:cs="Calibri"/>
          <w:b/>
          <w:bCs/>
          <w:color w:val="000000"/>
          <w:bdr w:val="none" w:sz="0" w:space="0" w:color="auto" w:frame="1"/>
        </w:rPr>
        <w:t>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1" w:tgtFrame="_blank" w:history="1">
        <w:r w:rsidRPr="00F63098">
          <w:rPr>
            <w:rStyle w:val="Hyperlink"/>
            <w:rFonts w:ascii="Calibri" w:hAnsi="Calibri" w:cs="Calibri"/>
            <w:b/>
            <w:bCs/>
            <w:color w:val="000000"/>
            <w:bdr w:val="none" w:sz="0" w:space="0" w:color="auto" w:frame="1"/>
          </w:rPr>
          <w:t>can be found here on the ASC Curriculum and Assessment Services website</w:t>
        </w:r>
      </w:hyperlink>
      <w:r w:rsidRPr="00F63098">
        <w:rPr>
          <w:rFonts w:ascii="Calibri" w:hAnsi="Calibri" w:cs="Calibri"/>
          <w:b/>
          <w:bCs/>
          <w:color w:val="000000"/>
          <w:bdr w:val="none" w:sz="0" w:space="0" w:color="auto" w:frame="1"/>
        </w:rPr>
        <w:t>. The Subcommittee thanks you for adding this statement to your course syllabus.  </w:t>
      </w:r>
    </w:p>
    <w:p w14:paraId="0F0794E3" w14:textId="7CD4F56A" w:rsidR="00F63098" w:rsidRPr="00F63098" w:rsidRDefault="00F63098" w:rsidP="00F63098">
      <w:pPr>
        <w:pStyle w:val="ListParagraph"/>
        <w:numPr>
          <w:ilvl w:val="2"/>
          <w:numId w:val="1"/>
        </w:numPr>
      </w:pPr>
      <w:r w:rsidRPr="00F63098">
        <w:rPr>
          <w:rFonts w:ascii="Calibri" w:hAnsi="Calibri" w:cs="Calibri"/>
          <w:b/>
          <w:bCs/>
          <w:color w:val="000000"/>
          <w:bdr w:val="none" w:sz="0" w:space="0" w:color="auto" w:frame="1"/>
        </w:rPr>
        <w:t xml:space="preserve">The Subcommittee asks that a brief cover letter be provided that summarizes the changes made </w:t>
      </w:r>
      <w:proofErr w:type="gramStart"/>
      <w:r w:rsidRPr="00F63098">
        <w:rPr>
          <w:rFonts w:ascii="Calibri" w:hAnsi="Calibri" w:cs="Calibri"/>
          <w:b/>
          <w:bCs/>
          <w:color w:val="000000"/>
          <w:bdr w:val="none" w:sz="0" w:space="0" w:color="auto" w:frame="1"/>
        </w:rPr>
        <w:t>as a result of</w:t>
      </w:r>
      <w:proofErr w:type="gramEnd"/>
      <w:r w:rsidRPr="00F63098">
        <w:rPr>
          <w:rFonts w:ascii="Calibri" w:hAnsi="Calibri" w:cs="Calibri"/>
          <w:b/>
          <w:bCs/>
          <w:color w:val="000000"/>
          <w:bdr w:val="none" w:sz="0" w:space="0" w:color="auto" w:frame="1"/>
        </w:rPr>
        <w:t xml:space="preserve"> their feedback.</w:t>
      </w:r>
      <w:r w:rsidRPr="00F63098">
        <w:rPr>
          <w:rFonts w:ascii="Calibri" w:hAnsi="Calibri" w:cs="Calibri"/>
          <w:color w:val="000000"/>
          <w:bdr w:val="none" w:sz="0" w:space="0" w:color="auto" w:frame="1"/>
        </w:rPr>
        <w:t> </w:t>
      </w:r>
    </w:p>
    <w:p w14:paraId="0AC2E040" w14:textId="2F1CBEEA" w:rsidR="00F63098" w:rsidRPr="00F63098" w:rsidRDefault="00F63098" w:rsidP="00F63098">
      <w:pPr>
        <w:pStyle w:val="ListParagraph"/>
        <w:numPr>
          <w:ilvl w:val="2"/>
          <w:numId w:val="1"/>
        </w:numPr>
      </w:pPr>
      <w:r w:rsidRPr="00F63098">
        <w:rPr>
          <w:rFonts w:ascii="Calibri" w:hAnsi="Calibri" w:cs="Calibri"/>
          <w:i/>
          <w:iCs/>
          <w:color w:val="000000"/>
          <w:bdr w:val="none" w:sz="0" w:space="0" w:color="auto" w:frame="1"/>
        </w:rPr>
        <w:t>The reviewing faculty offer the friendly recommendation to update the Student Life – Disability Services statement in the course syllabus, as they recently updated it for the 2023-24 academic year, as well as the Mental Health statement. The most up-to-date </w:t>
      </w:r>
      <w:hyperlink r:id="rId12" w:tgtFrame="_blank" w:history="1">
        <w:r w:rsidRPr="00F63098">
          <w:rPr>
            <w:rStyle w:val="Hyperlink"/>
            <w:rFonts w:ascii="Calibri" w:hAnsi="Calibri" w:cs="Calibri"/>
            <w:i/>
            <w:iCs/>
            <w:color w:val="000000"/>
            <w:bdr w:val="none" w:sz="0" w:space="0" w:color="auto" w:frame="1"/>
          </w:rPr>
          <w:t>statements can be found here</w:t>
        </w:r>
      </w:hyperlink>
      <w:r w:rsidRPr="00F63098">
        <w:rPr>
          <w:rFonts w:ascii="Calibri" w:hAnsi="Calibri" w:cs="Calibri"/>
          <w:i/>
          <w:iCs/>
          <w:color w:val="000000"/>
          <w:bdr w:val="none" w:sz="0" w:space="0" w:color="auto" w:frame="1"/>
        </w:rPr>
        <w:t> on the ASC Curriculum and Assessment website. </w:t>
      </w:r>
    </w:p>
    <w:p w14:paraId="65930B18" w14:textId="0A26C17D" w:rsidR="00F63098" w:rsidRDefault="00F63098" w:rsidP="00F63098">
      <w:pPr>
        <w:pStyle w:val="ListParagraph"/>
        <w:numPr>
          <w:ilvl w:val="1"/>
          <w:numId w:val="1"/>
        </w:numPr>
      </w:pPr>
      <w:r>
        <w:rPr>
          <w:b/>
          <w:bCs/>
        </w:rPr>
        <w:t xml:space="preserve">Approved </w:t>
      </w:r>
      <w:r>
        <w:t xml:space="preserve">via </w:t>
      </w:r>
      <w:r>
        <w:rPr>
          <w:b/>
          <w:bCs/>
        </w:rPr>
        <w:t xml:space="preserve">E-vote </w:t>
      </w:r>
      <w:r>
        <w:t xml:space="preserve">with one comment, </w:t>
      </w:r>
      <w:r>
        <w:rPr>
          <w:b/>
          <w:bCs/>
        </w:rPr>
        <w:t xml:space="preserve">three contingencies </w:t>
      </w:r>
      <w:r>
        <w:t xml:space="preserve">(in bold above) and </w:t>
      </w:r>
      <w:r>
        <w:rPr>
          <w:i/>
          <w:iCs/>
        </w:rPr>
        <w:t xml:space="preserve">one recommendation </w:t>
      </w:r>
      <w:r>
        <w:t xml:space="preserve">(in italics above) </w:t>
      </w:r>
    </w:p>
    <w:p w14:paraId="64B93C93" w14:textId="00755845" w:rsidR="00F63098" w:rsidRDefault="00A460C4" w:rsidP="00F63098">
      <w:pPr>
        <w:pStyle w:val="ListParagraph"/>
        <w:numPr>
          <w:ilvl w:val="0"/>
          <w:numId w:val="1"/>
        </w:numPr>
      </w:pPr>
      <w:r>
        <w:t xml:space="preserve">FRIT and German 7600 (course changes; requesting to be 3-credit, cross-listed courses going forward; previous FRIT version offered under 7301; previous German version offered under 6600 and for 4 credits; both titles and course descriptions will be modified) </w:t>
      </w:r>
    </w:p>
    <w:p w14:paraId="0410A06F" w14:textId="3115830D" w:rsidR="00A460C4" w:rsidRDefault="00A460C4" w:rsidP="00A460C4">
      <w:pPr>
        <w:pStyle w:val="ListParagraph"/>
        <w:numPr>
          <w:ilvl w:val="1"/>
          <w:numId w:val="1"/>
        </w:numPr>
      </w:pPr>
      <w:r>
        <w:t xml:space="preserve">Troyan, Koehnlein, </w:t>
      </w:r>
      <w:r>
        <w:rPr>
          <w:b/>
          <w:bCs/>
        </w:rPr>
        <w:t xml:space="preserve">unanimously </w:t>
      </w:r>
      <w:proofErr w:type="gramStart"/>
      <w:r>
        <w:rPr>
          <w:b/>
          <w:bCs/>
        </w:rPr>
        <w:t>approved</w:t>
      </w:r>
      <w:proofErr w:type="gramEnd"/>
      <w:r>
        <w:rPr>
          <w:b/>
          <w:bCs/>
        </w:rPr>
        <w:t xml:space="preserve"> </w:t>
      </w:r>
    </w:p>
    <w:p w14:paraId="49378A90" w14:textId="27C804DF" w:rsidR="00A460C4" w:rsidRDefault="00A460C4" w:rsidP="00A460C4">
      <w:pPr>
        <w:pStyle w:val="ListParagraph"/>
        <w:numPr>
          <w:ilvl w:val="0"/>
          <w:numId w:val="1"/>
        </w:numPr>
      </w:pPr>
      <w:r>
        <w:t xml:space="preserve">Slavic 3995 (new course requesting GEN Theme: Citizenship for a Diverse and Just World with Interdisciplinary and Integrated Collaborative Teaching High-Impact Practice) </w:t>
      </w:r>
    </w:p>
    <w:p w14:paraId="3AC5E3DF" w14:textId="262F5CA3" w:rsidR="00A460C4" w:rsidRPr="00A460C4" w:rsidRDefault="00A460C4" w:rsidP="00A460C4">
      <w:pPr>
        <w:pStyle w:val="ListParagraph"/>
        <w:numPr>
          <w:ilvl w:val="1"/>
          <w:numId w:val="1"/>
        </w:numPr>
      </w:pPr>
      <w:r>
        <w:rPr>
          <w:b/>
          <w:bCs/>
        </w:rPr>
        <w:t xml:space="preserve">The Subcommittee asks that the course calendar be reworked to fit within the </w:t>
      </w:r>
      <w:proofErr w:type="gramStart"/>
      <w:r>
        <w:rPr>
          <w:b/>
          <w:bCs/>
        </w:rPr>
        <w:t>14 week</w:t>
      </w:r>
      <w:proofErr w:type="gramEnd"/>
      <w:r>
        <w:rPr>
          <w:b/>
          <w:bCs/>
        </w:rPr>
        <w:t xml:space="preserve"> standard semester. Currently, it appears as if the course calendar is scheduling student work during the week designated for final examinations. This week is not meant to be counted as instructional time. </w:t>
      </w:r>
    </w:p>
    <w:p w14:paraId="1311765C" w14:textId="57ABD4E1" w:rsidR="00A460C4" w:rsidRPr="00A460C4" w:rsidRDefault="00A460C4" w:rsidP="00A460C4">
      <w:pPr>
        <w:pStyle w:val="ListParagraph"/>
        <w:numPr>
          <w:ilvl w:val="1"/>
          <w:numId w:val="1"/>
        </w:numPr>
      </w:pPr>
      <w:r>
        <w:rPr>
          <w:b/>
          <w:bCs/>
        </w:rPr>
        <w:t xml:space="preserve">The Subcommittee asks that the contact hours are fixed within the course syllabus. On page 5, it lists contact hours as being 3 hours of direct instruction and 12 hours of indirect instruction. However, proper contact hours for a 4-credit hour course would be 4 hours of direct instruction and 8 hours of indirect instruction per week. </w:t>
      </w:r>
    </w:p>
    <w:p w14:paraId="422F1E5E" w14:textId="716AAC77" w:rsidR="00A460C4" w:rsidRPr="00013581" w:rsidRDefault="00A460C4" w:rsidP="00A460C4">
      <w:pPr>
        <w:pStyle w:val="ListParagraph"/>
        <w:numPr>
          <w:ilvl w:val="1"/>
          <w:numId w:val="1"/>
        </w:numPr>
      </w:pPr>
      <w:r>
        <w:t xml:space="preserve">Koehnlein, Troyan, </w:t>
      </w:r>
      <w:r>
        <w:rPr>
          <w:b/>
          <w:bCs/>
        </w:rPr>
        <w:t xml:space="preserve">unanimously approved </w:t>
      </w:r>
      <w:r>
        <w:t xml:space="preserve">with </w:t>
      </w:r>
      <w:r>
        <w:rPr>
          <w:b/>
          <w:bCs/>
        </w:rPr>
        <w:t xml:space="preserve">two contingencies </w:t>
      </w:r>
      <w:r>
        <w:t xml:space="preserve">(in bold above) </w:t>
      </w:r>
    </w:p>
    <w:sectPr w:rsidR="00A460C4" w:rsidRPr="00013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A6E"/>
    <w:multiLevelType w:val="multilevel"/>
    <w:tmpl w:val="B5EA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E206DC"/>
    <w:multiLevelType w:val="multilevel"/>
    <w:tmpl w:val="A784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812A02"/>
    <w:multiLevelType w:val="multilevel"/>
    <w:tmpl w:val="8864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50180A"/>
    <w:multiLevelType w:val="multilevel"/>
    <w:tmpl w:val="C402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0A70A7"/>
    <w:multiLevelType w:val="hybridMultilevel"/>
    <w:tmpl w:val="C222164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712F0"/>
    <w:multiLevelType w:val="hybridMultilevel"/>
    <w:tmpl w:val="9218197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358EF"/>
    <w:multiLevelType w:val="multilevel"/>
    <w:tmpl w:val="1768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9159912">
    <w:abstractNumId w:val="4"/>
  </w:num>
  <w:num w:numId="2" w16cid:durableId="1571232249">
    <w:abstractNumId w:val="5"/>
  </w:num>
  <w:num w:numId="3" w16cid:durableId="681400759">
    <w:abstractNumId w:val="6"/>
  </w:num>
  <w:num w:numId="4" w16cid:durableId="119349395">
    <w:abstractNumId w:val="1"/>
  </w:num>
  <w:num w:numId="5" w16cid:durableId="1683583874">
    <w:abstractNumId w:val="3"/>
  </w:num>
  <w:num w:numId="6" w16cid:durableId="512230398">
    <w:abstractNumId w:val="2"/>
  </w:num>
  <w:num w:numId="7" w16cid:durableId="1580749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81"/>
    <w:rsid w:val="00013581"/>
    <w:rsid w:val="0017485A"/>
    <w:rsid w:val="004C3144"/>
    <w:rsid w:val="006420AF"/>
    <w:rsid w:val="006A6EC9"/>
    <w:rsid w:val="00701F3A"/>
    <w:rsid w:val="00745DDF"/>
    <w:rsid w:val="009624DE"/>
    <w:rsid w:val="00A460C4"/>
    <w:rsid w:val="00F6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7014"/>
  <w15:chartTrackingRefBased/>
  <w15:docId w15:val="{764B9C2B-BBCC-4884-8CED-0C2E41ED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581"/>
    <w:pPr>
      <w:ind w:left="720"/>
      <w:contextualSpacing/>
    </w:pPr>
  </w:style>
  <w:style w:type="character" w:styleId="Hyperlink">
    <w:name w:val="Hyperlink"/>
    <w:basedOn w:val="DefaultParagraphFont"/>
    <w:uiPriority w:val="99"/>
    <w:unhideWhenUsed/>
    <w:rsid w:val="00013581"/>
    <w:rPr>
      <w:color w:val="0563C1" w:themeColor="hyperlink"/>
      <w:u w:val="single"/>
    </w:rPr>
  </w:style>
  <w:style w:type="character" w:styleId="UnresolvedMention">
    <w:name w:val="Unresolved Mention"/>
    <w:basedOn w:val="DefaultParagraphFont"/>
    <w:uiPriority w:val="99"/>
    <w:semiHidden/>
    <w:unhideWhenUsed/>
    <w:rsid w:val="00013581"/>
    <w:rPr>
      <w:color w:val="605E5C"/>
      <w:shd w:val="clear" w:color="auto" w:fill="E1DFDD"/>
    </w:rPr>
  </w:style>
  <w:style w:type="paragraph" w:styleId="Revision">
    <w:name w:val="Revision"/>
    <w:hidden/>
    <w:uiPriority w:val="99"/>
    <w:semiHidden/>
    <w:rsid w:val="006A6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legacy-general-education-gel-goals-and-el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legacy-general-education-gel-goals-and-elos"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0" Type="http://schemas.openxmlformats.org/officeDocument/2006/relationships/hyperlink" Target="https://globaleducation.osu.edu/index.cfm?FuseAction=Programs.ViewProgramAngular&amp;id=10854"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7451</Characters>
  <Application>Microsoft Office Word</Application>
  <DocSecurity>0</DocSecurity>
  <Lines>219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2023-11-22T13:08:00Z</dcterms:created>
  <dcterms:modified xsi:type="dcterms:W3CDTF">2023-11-22T13:08:00Z</dcterms:modified>
</cp:coreProperties>
</file>